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三相大电流发生器在维护时候应注意哪些问题？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xml:space="preserve">     三相大电流发生器是电力、电气行业在调试中需要大电流场所的必需设备，该装置具有使用维修方便、性能优越使用安全可靠、外型结构美观、坚固耐用、移动方便等特点，对于三相大电流发生器的保养应该要做好哪些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1、外壳必须接地，不要因为低电压而忽视预防人身的安全事故。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3.升流器次级至被试品导线不宜太长、截面积要足够（电流密度可按6-8A/mm考虑）接触面要处理干净（可用细纱布打亮），否则接头发热，甚至电流升不到额定值。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3、工作前先检查电源有足够的容量否则电源线发热及电压降低影响正常工作。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4、工作现场不应有易燃物。温升试验则应准备足够的灭火器材。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5、连续性（升温）试验，现场应有人值班。并定时检查升流源设备、导线、接头发热情况，作好记录。由于电网电压的变动，注意调节TD，以便维持额定试验电流。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6、试验工作应遵守电业安全工作规程有关规定并制定切合实际的安全措施。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7、使用时应缓慢均匀升流，搬运时应避免过大的震动。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8、调压器与电刷接触表面应保持清洁，视情况有90%酒精蘸棉纱擦拭干净。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9、使用中升流变压器和操作台必须可靠接地，以保证安全。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　　10、本设备是为短时间的工作而设计的，所以不允许长时间在额定容量下工作，特别不允许超过额定电流运行，以防过热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firstLine="360"/>
        <w:jc w:val="both"/>
        <w:rPr>
          <w:rFonts w:hint="eastAsia" w:ascii="sans serif" w:hAnsi="sans serif" w:cs="sans serif"/>
          <w:i w:val="0"/>
          <w:color w:val="000000"/>
          <w:spacing w:val="0"/>
          <w:kern w:val="0"/>
          <w:sz w:val="18"/>
          <w:szCs w:val="18"/>
          <w:lang w:val="en-US" w:eastAsia="zh-CN" w:bidi="ar"/>
        </w:rPr>
      </w:pPr>
      <w:r>
        <w:rPr>
          <w:rFonts w:hint="eastAsia" w:ascii="sans serif" w:hAnsi="sans serif" w:cs="sans serif"/>
          <w:i w:val="0"/>
          <w:color w:val="000000"/>
          <w:spacing w:val="0"/>
          <w:kern w:val="0"/>
          <w:sz w:val="18"/>
          <w:szCs w:val="18"/>
          <w:lang w:val="en-US" w:eastAsia="zh-CN" w:bidi="ar"/>
        </w:rPr>
        <w:t>11、本设备应置于清洁、通风、干燥的室内保存。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ascii="sans serif" w:hAnsi="sans serif" w:eastAsia="sans serif" w:cs="sans serif"/>
          <w:i w:val="0"/>
          <w:caps w:val="0"/>
          <w:color w:val="000000"/>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B53A82"/>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FD75FF"/>
    <w:rsid w:val="12CA67E6"/>
    <w:rsid w:val="13F44C27"/>
    <w:rsid w:val="13FD1087"/>
    <w:rsid w:val="15691128"/>
    <w:rsid w:val="15731E8C"/>
    <w:rsid w:val="16045DBF"/>
    <w:rsid w:val="170A67FF"/>
    <w:rsid w:val="187E0CD5"/>
    <w:rsid w:val="18987C4C"/>
    <w:rsid w:val="18B20997"/>
    <w:rsid w:val="18B81622"/>
    <w:rsid w:val="1A673A15"/>
    <w:rsid w:val="1A6E7C0B"/>
    <w:rsid w:val="1AD330D4"/>
    <w:rsid w:val="1B1A3360"/>
    <w:rsid w:val="1C741A1E"/>
    <w:rsid w:val="1CA96426"/>
    <w:rsid w:val="1D424207"/>
    <w:rsid w:val="1D83755B"/>
    <w:rsid w:val="1DB7741B"/>
    <w:rsid w:val="1E6E5DDB"/>
    <w:rsid w:val="1EE1598D"/>
    <w:rsid w:val="1F4074ED"/>
    <w:rsid w:val="1F493739"/>
    <w:rsid w:val="1FB537D2"/>
    <w:rsid w:val="1FDF2187"/>
    <w:rsid w:val="206D1F84"/>
    <w:rsid w:val="214955DB"/>
    <w:rsid w:val="21FB69EC"/>
    <w:rsid w:val="236B1576"/>
    <w:rsid w:val="236E5E8F"/>
    <w:rsid w:val="24E91A75"/>
    <w:rsid w:val="26166C91"/>
    <w:rsid w:val="26567B73"/>
    <w:rsid w:val="26CD5C23"/>
    <w:rsid w:val="286053E6"/>
    <w:rsid w:val="29757468"/>
    <w:rsid w:val="29FD4C17"/>
    <w:rsid w:val="2A267929"/>
    <w:rsid w:val="2C1D2035"/>
    <w:rsid w:val="2C22655A"/>
    <w:rsid w:val="2CD0129C"/>
    <w:rsid w:val="2FA75B85"/>
    <w:rsid w:val="30963906"/>
    <w:rsid w:val="30CD1A7F"/>
    <w:rsid w:val="31C546F9"/>
    <w:rsid w:val="327E40D9"/>
    <w:rsid w:val="329354C6"/>
    <w:rsid w:val="329F6CF8"/>
    <w:rsid w:val="32E12727"/>
    <w:rsid w:val="34135083"/>
    <w:rsid w:val="34913BC0"/>
    <w:rsid w:val="35030AFC"/>
    <w:rsid w:val="35202C1E"/>
    <w:rsid w:val="356B5B43"/>
    <w:rsid w:val="35F016DF"/>
    <w:rsid w:val="35F1749D"/>
    <w:rsid w:val="36022600"/>
    <w:rsid w:val="36B1706D"/>
    <w:rsid w:val="37F83C81"/>
    <w:rsid w:val="38004BB1"/>
    <w:rsid w:val="38387471"/>
    <w:rsid w:val="3909659C"/>
    <w:rsid w:val="39445B70"/>
    <w:rsid w:val="3A2C1E9C"/>
    <w:rsid w:val="3A6B6A5F"/>
    <w:rsid w:val="3C40017B"/>
    <w:rsid w:val="3C7E5F69"/>
    <w:rsid w:val="3CA627CB"/>
    <w:rsid w:val="3CDE6BDD"/>
    <w:rsid w:val="3CF5587C"/>
    <w:rsid w:val="3EA23ED1"/>
    <w:rsid w:val="3F8A5E01"/>
    <w:rsid w:val="3FE63C65"/>
    <w:rsid w:val="401C5B3D"/>
    <w:rsid w:val="40531A3C"/>
    <w:rsid w:val="406E68E9"/>
    <w:rsid w:val="40933600"/>
    <w:rsid w:val="42690071"/>
    <w:rsid w:val="42BB535B"/>
    <w:rsid w:val="43DB6C58"/>
    <w:rsid w:val="43F60325"/>
    <w:rsid w:val="44116961"/>
    <w:rsid w:val="45B54766"/>
    <w:rsid w:val="45E044D0"/>
    <w:rsid w:val="45F87DC8"/>
    <w:rsid w:val="485E5A86"/>
    <w:rsid w:val="488C43A3"/>
    <w:rsid w:val="48992347"/>
    <w:rsid w:val="489C39CE"/>
    <w:rsid w:val="48B7498D"/>
    <w:rsid w:val="48F56AAD"/>
    <w:rsid w:val="4912396F"/>
    <w:rsid w:val="49E625DB"/>
    <w:rsid w:val="4A232755"/>
    <w:rsid w:val="4B1643EA"/>
    <w:rsid w:val="4D3374E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E21005C"/>
    <w:rsid w:val="5E4E48ED"/>
    <w:rsid w:val="5EAB61A1"/>
    <w:rsid w:val="5EC4706C"/>
    <w:rsid w:val="5FCF7C97"/>
    <w:rsid w:val="609E2324"/>
    <w:rsid w:val="63535094"/>
    <w:rsid w:val="63854483"/>
    <w:rsid w:val="63C0694F"/>
    <w:rsid w:val="6488353B"/>
    <w:rsid w:val="65A24FDC"/>
    <w:rsid w:val="65B143A1"/>
    <w:rsid w:val="65BD756D"/>
    <w:rsid w:val="65E51041"/>
    <w:rsid w:val="66141D78"/>
    <w:rsid w:val="67D15502"/>
    <w:rsid w:val="68A45D08"/>
    <w:rsid w:val="69712422"/>
    <w:rsid w:val="6A213B08"/>
    <w:rsid w:val="6B8E70F5"/>
    <w:rsid w:val="6BA346E3"/>
    <w:rsid w:val="6D3803BA"/>
    <w:rsid w:val="6D456E9B"/>
    <w:rsid w:val="6D907CBA"/>
    <w:rsid w:val="6F7E161A"/>
    <w:rsid w:val="6FE9748C"/>
    <w:rsid w:val="700B0E96"/>
    <w:rsid w:val="71F14425"/>
    <w:rsid w:val="732B1995"/>
    <w:rsid w:val="73947B65"/>
    <w:rsid w:val="744E1F1B"/>
    <w:rsid w:val="746A5E3C"/>
    <w:rsid w:val="750406C3"/>
    <w:rsid w:val="76420757"/>
    <w:rsid w:val="77030F3F"/>
    <w:rsid w:val="79C25BA0"/>
    <w:rsid w:val="79ED3355"/>
    <w:rsid w:val="7AAA4DC3"/>
    <w:rsid w:val="7B376EA8"/>
    <w:rsid w:val="7C112739"/>
    <w:rsid w:val="7C705F2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979</Words>
  <Characters>1009</Characters>
  <Lines>0</Lines>
  <Paragraphs>0</Paragraphs>
  <ScaleCrop>false</ScaleCrop>
  <LinksUpToDate>false</LinksUpToDate>
  <CharactersWithSpaces>1011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2019-12-28T01:58:44Z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