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谈谈为什么重视防雷检测?定期进行防雷检测必要?</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xml:space="preserve">  　大家会发现，几乎我们周围所有的较为高大的建筑都有防雷装置，就是为了保证我们在下雨打雷天的安全。根据《建筑防雷装置检测技术规范》(GB/T21431-2015)，我们需要每年进行一次定期防雷检测。为什么我们要重视防雷检测?要定期进行防雷检测?</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1、通过防雷检测可以及时掌握投入使用的防雷装置的运行情况</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所有防雷装置(包括外部防雷装置和内部防雷装置)都有使用寿命。 除了正常闪电造成的损害外，它们还会受到人为和环境因素的影响，从而降低防雷装置的有效性，缩短其使用寿命。</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随着使用寿命的增加，外部防雷装置中的自然接地体和人工接地体会受到不同程度的腐蚀和断裂。 如果接闪器和引下线长时间暴露在室外，会受到温度、湿度、恶劣天气(暴风雨、强雷暴、冰雪等)的影响。)，会出现变形、腐蚀、断裂等现象，也会因人为违章施工而被覆盖或断裂，影响防雷安全，带来潜在的雷电危害。</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内部防雷装置、部件(变阻器等)中的电涌保护器。)是易损件，随着使用时间的推移，会有不同程度的劣化、表面脏污、褪色、氧化等现象，影响其运行性能。</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只有通过每年例行的防雷检测来测量防雷装置的参数，科学客观地评价防雷装置的实际效果，才能准确掌握防雷装置的运行情况，熟知防雷装置的运行情况，为防雷安全提供科学依据。</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2、只有通过防雷检测，才能准确了解新建、改建、扩建建筑物的防雷装置是否符合防雷规范的要求</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建筑物(构筑物)将根据管理人员和用户的需要不断建造、改建或扩建。新建、改建、扩建的建筑物可能会改变建筑物的防雷等级，因此防雷装置的防护等级也会发生变化。只有通过每年例行的防雷检查，才能了解新建、改建、扩建的建(构)筑物的防雷装置是否符合建(构)筑物的防雷分类，是否存在雷击造成的安全隐患，以及由于防雷装置的标准化、全面性和系统性，改建、扩建的建(构)筑物的防雷装置是否存在人为损坏和覆盖等现象。</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3、通过防雷检测可以发现防雷隐患，促使防雷装置管理者及时有效地采取防雷整改措施，减少雷电安全隐患</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通过防雷检测，可以获得防雷装置的整体性能参数，哪些防雷装置会被腐蚀、劣化、无电气连接等。，对不符合规范要求的方面可以给出客观公正的整改意见，促使防雷装置的管理者或使用者采取有效的防雷补救整改措施，有效减少雷电安全隐患，确保人员和财产安全。</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4、通过防雷检测，气象主管机构可以充分了解该区域防雷装置的整体运行情况和雷电风险因素，并采取全面有效的防雷监管措施。</w:t>
      </w:r>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　　每年上半年，防雷检测从业人员将对上一年开展的防雷装置检测业务进行全面总结，并上报当地省级气象主管机构。通过这些数据，气象主管机构可以充分了解去年防雷装置的检测情况、防雷装置的运行情况、从业人员的操作规范和市场覆盖率，为全年防雷监管提供科学依据，从而制定符合市场发展的政策、法规、通知等。 防雷检测数据也将成为政府安全监管的重要依据。</w:t>
      </w:r>
    </w:p>
    <w:p>
      <w:pPr>
        <w:pStyle w:val="6"/>
        <w:keepNext w:val="0"/>
        <w:keepLines w:val="0"/>
        <w:widowControl/>
        <w:suppressLineNumbers w:val="0"/>
        <w:spacing w:before="60" w:beforeAutospacing="0" w:after="60" w:afterAutospacing="0"/>
        <w:ind w:left="0" w:right="0" w:firstLine="361"/>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t>综上所述，防雷检测工作非常重要，尤其是气候变暖、雷暴等灾害性天气的频繁发生，防雷比任何一个时期都更加重要。防雷检测是防雷安全工作的重要组成部分，需要全社会高度重视。</w:t>
      </w:r>
    </w:p>
    <w:p>
      <w:pPr>
        <w:pStyle w:val="6"/>
        <w:keepNext w:val="0"/>
        <w:keepLines w:val="0"/>
        <w:widowControl/>
        <w:suppressLineNumbers w:val="0"/>
        <w:spacing w:before="60" w:beforeAutospacing="0" w:after="60" w:afterAutospacing="0"/>
        <w:ind w:left="0" w:right="0" w:firstLine="361"/>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bookmarkStart w:id="0" w:name="_GoBack"/>
      <w:bookmarkEnd w:id="0"/>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D52818"/>
    <w:rsid w:val="01FA53E8"/>
    <w:rsid w:val="024877DC"/>
    <w:rsid w:val="02524ED9"/>
    <w:rsid w:val="02952AD6"/>
    <w:rsid w:val="029773F3"/>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C523E2"/>
    <w:rsid w:val="07DF66C2"/>
    <w:rsid w:val="08096DD7"/>
    <w:rsid w:val="086927FE"/>
    <w:rsid w:val="0875717D"/>
    <w:rsid w:val="08831128"/>
    <w:rsid w:val="08AC139C"/>
    <w:rsid w:val="08B20CB9"/>
    <w:rsid w:val="08BF11E4"/>
    <w:rsid w:val="08CD373E"/>
    <w:rsid w:val="08FD2A0B"/>
    <w:rsid w:val="09431526"/>
    <w:rsid w:val="09760E5F"/>
    <w:rsid w:val="09DC326A"/>
    <w:rsid w:val="09FA3CC5"/>
    <w:rsid w:val="09FE1989"/>
    <w:rsid w:val="0A0E5799"/>
    <w:rsid w:val="0A494A34"/>
    <w:rsid w:val="0A6E2860"/>
    <w:rsid w:val="0A7F2F78"/>
    <w:rsid w:val="0A9E1EE9"/>
    <w:rsid w:val="0ABD5BD9"/>
    <w:rsid w:val="0ABE531A"/>
    <w:rsid w:val="0AC737A0"/>
    <w:rsid w:val="0ACE3AF6"/>
    <w:rsid w:val="0AD53FDE"/>
    <w:rsid w:val="0B304C20"/>
    <w:rsid w:val="0B465D30"/>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E370BF"/>
    <w:rsid w:val="13385D8D"/>
    <w:rsid w:val="1381702C"/>
    <w:rsid w:val="139A013C"/>
    <w:rsid w:val="13F44C27"/>
    <w:rsid w:val="13FD1087"/>
    <w:rsid w:val="140D7525"/>
    <w:rsid w:val="141647CE"/>
    <w:rsid w:val="141E7CD4"/>
    <w:rsid w:val="143E670B"/>
    <w:rsid w:val="14493E1D"/>
    <w:rsid w:val="14F7040E"/>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741A1E"/>
    <w:rsid w:val="1C9B21F3"/>
    <w:rsid w:val="1CA96426"/>
    <w:rsid w:val="1D2552C9"/>
    <w:rsid w:val="1D424207"/>
    <w:rsid w:val="1D55667F"/>
    <w:rsid w:val="1D83755B"/>
    <w:rsid w:val="1DB73F35"/>
    <w:rsid w:val="1DB7741B"/>
    <w:rsid w:val="1E6B0AC6"/>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4C503C"/>
    <w:rsid w:val="26567B73"/>
    <w:rsid w:val="265C702D"/>
    <w:rsid w:val="267A74BC"/>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BBC7AB1"/>
    <w:rsid w:val="2C0578EE"/>
    <w:rsid w:val="2C1D2035"/>
    <w:rsid w:val="2C22655A"/>
    <w:rsid w:val="2C6E46F1"/>
    <w:rsid w:val="2CD0129C"/>
    <w:rsid w:val="2D353E12"/>
    <w:rsid w:val="2D3C0A0D"/>
    <w:rsid w:val="2D6A5560"/>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1A43A9"/>
    <w:rsid w:val="45B54766"/>
    <w:rsid w:val="45BD6117"/>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63497D"/>
    <w:rsid w:val="507D756B"/>
    <w:rsid w:val="507E045E"/>
    <w:rsid w:val="50AF7D22"/>
    <w:rsid w:val="50C11BFE"/>
    <w:rsid w:val="50E771D1"/>
    <w:rsid w:val="50F807B8"/>
    <w:rsid w:val="51372CBA"/>
    <w:rsid w:val="51503C6F"/>
    <w:rsid w:val="5184396D"/>
    <w:rsid w:val="51930760"/>
    <w:rsid w:val="523E1064"/>
    <w:rsid w:val="527C7DED"/>
    <w:rsid w:val="52D94F6A"/>
    <w:rsid w:val="5351134C"/>
    <w:rsid w:val="535543CD"/>
    <w:rsid w:val="53701E5B"/>
    <w:rsid w:val="538F4151"/>
    <w:rsid w:val="53901884"/>
    <w:rsid w:val="53AA371E"/>
    <w:rsid w:val="546F0F37"/>
    <w:rsid w:val="54881020"/>
    <w:rsid w:val="54924045"/>
    <w:rsid w:val="54BC3CCE"/>
    <w:rsid w:val="54DA759F"/>
    <w:rsid w:val="54E17778"/>
    <w:rsid w:val="551159C5"/>
    <w:rsid w:val="552E3178"/>
    <w:rsid w:val="55362F24"/>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A4940"/>
    <w:rsid w:val="63535094"/>
    <w:rsid w:val="63854483"/>
    <w:rsid w:val="63C0694F"/>
    <w:rsid w:val="63CD2221"/>
    <w:rsid w:val="64057227"/>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1026</Characters>
  <Lines>0</Lines>
  <Paragraphs>0</Paragraphs>
  <ScaleCrop>false</ScaleCrop>
  <LinksUpToDate>false</LinksUpToDate>
  <CharactersWithSpaces>1045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2021-10-29T05:32:27Z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